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rPr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_x0000_s1051" style="position:absolute;margin-left:5.6pt;margin-top:-23.85pt;width:535.85pt;height:146.3pt;z-index:-15783936;mso-position-horizontal:absolute;mso-position-vertical:absolute;mso-position-horizontal-relative:margin;mso-position-vertical-relative:text;" o:regroupid="3" type="#_x0000_t75">
            <v:imagedata r:id="rId1" o:title=""/>
          </v:shape>
        </w:pict>
      </w:r>
    </w:p>
    <w:p w:rsidR="00000000" w:rsidDel="00000000" w:rsidP="00000000" w:rsidRDefault="00000000" w:rsidRPr="00000000" w14:paraId="00000003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1"/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355600</wp:posOffset>
                </wp:positionV>
                <wp:extent cx="4257675" cy="8401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221925" y="3364710"/>
                          <a:ext cx="4248150" cy="830580"/>
                        </a:xfrm>
                        <a:prstGeom prst="rect">
                          <a:avLst/>
                        </a:prstGeom>
                        <a:solidFill>
                          <a:srgbClr val="A5409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8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Fire and Safety Compliance Checklist for Field Service Technicians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355600</wp:posOffset>
                </wp:positionV>
                <wp:extent cx="4257675" cy="84010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7675" cy="8401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widowControl w:val="1"/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I. Personal Protective Equipment (PPE):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6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Hard Hat: Ensure technicians wear appropriate hard hats to protect against head injuries in areas with potential falling objects.</w:t>
      </w:r>
    </w:p>
    <w:p w:rsidR="00000000" w:rsidDel="00000000" w:rsidP="00000000" w:rsidRDefault="00000000" w:rsidRPr="00000000" w14:paraId="00000010">
      <w:pPr>
        <w:widowControl w:val="1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Eye Protection: Provide and mandate the use of safety glasses or goggles in environments with eye hazards.</w:t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Hearing Protection: Equip technicians with ear protection in noisy work environments to prevent hearing damage.</w:t>
      </w:r>
    </w:p>
    <w:p w:rsidR="00000000" w:rsidDel="00000000" w:rsidP="00000000" w:rsidRDefault="00000000" w:rsidRPr="00000000" w14:paraId="00000012">
      <w:pPr>
        <w:widowControl w:val="1"/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Foot Protection: Ensure the use of safety shoes or boots with steel toes in areas where foot injuries are a risk.</w:t>
      </w:r>
    </w:p>
    <w:p w:rsidR="00000000" w:rsidDel="00000000" w:rsidP="00000000" w:rsidRDefault="00000000" w:rsidRPr="00000000" w14:paraId="00000013">
      <w:pPr>
        <w:widowControl w:val="1"/>
        <w:numPr>
          <w:ilvl w:val="0"/>
          <w:numId w:val="6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Hand Protection: Provide and enforce the use of appropriate gloves for protection against chemicals, electrical hazards, or sharp objects.</w:t>
      </w:r>
    </w:p>
    <w:p w:rsidR="00000000" w:rsidDel="00000000" w:rsidP="00000000" w:rsidRDefault="00000000" w:rsidRPr="00000000" w14:paraId="00000014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II. Emergency Preparedness: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numPr>
          <w:ilvl w:val="0"/>
          <w:numId w:val="9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Emergency Exit Routes: Clearly mark and communicate emergency exit routes at job sites, ensuring technicians are familiar with evacuation procedures.</w:t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First Aid Kits: Ensure accessible first aid kits are available at each work site and that technicians are trained in basic first aid procedures.</w:t>
      </w:r>
    </w:p>
    <w:p w:rsidR="00000000" w:rsidDel="00000000" w:rsidP="00000000" w:rsidRDefault="00000000" w:rsidRPr="00000000" w14:paraId="00000017">
      <w:pPr>
        <w:widowControl w:val="1"/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Fire Extinguishers: Regularly inspect and maintain fire extinguishers, providing training on their use to technicians.</w:t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9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Emergency Contacts: Provide a list of emergency contacts, including local emergency services and designated company contacts, at each job site.</w:t>
      </w:r>
    </w:p>
    <w:p w:rsidR="00000000" w:rsidDel="00000000" w:rsidP="00000000" w:rsidRDefault="00000000" w:rsidRPr="00000000" w14:paraId="00000019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III. Electrical Safety: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2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Lockout/Tagout Procedures: Implement and train technicians on lockout/tagout procedures to control hazardous energy sources during maintenance or repairs.</w:t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2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Electrical Tool Inspection: Regularly inspect and maintain all electrical tools, cords, and equipment to prevent electrical hazards.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2"/>
        </w:numPr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Grounding Practices: Emphasize proper grounding techniques to prevent electrical shock incidents.</w:t>
      </w:r>
    </w:p>
    <w:p w:rsidR="00000000" w:rsidDel="00000000" w:rsidP="00000000" w:rsidRDefault="00000000" w:rsidRPr="00000000" w14:paraId="0000001D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IV. Hazard Communication: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3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Material Safety Data Sheets (MSDS): Maintain updated MSDS for all hazardous materials used on-site, and ensure technicians are aware of their locations.</w:t>
      </w:r>
    </w:p>
    <w:p w:rsidR="00000000" w:rsidDel="00000000" w:rsidP="00000000" w:rsidRDefault="00000000" w:rsidRPr="00000000" w14:paraId="0000001F">
      <w:pPr>
        <w:widowControl w:val="1"/>
        <w:numPr>
          <w:ilvl w:val="0"/>
          <w:numId w:val="3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Chemical Labeling: Ensure proper labeling of all chemical containers, and train technicians on the meaning of hazard symbols and labels.</w:t>
      </w:r>
    </w:p>
    <w:p w:rsidR="00000000" w:rsidDel="00000000" w:rsidP="00000000" w:rsidRDefault="00000000" w:rsidRPr="00000000" w14:paraId="00000020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V. Fall Protection: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numPr>
          <w:ilvl w:val="0"/>
          <w:numId w:val="8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Fall Arrest Systems: Provide and require the use of fall protection equipment, such as harnesses and lanyards, for technicians working at heights.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8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Guardrails and Barriers: Install guardrails or barriers where needed to prevent falls from elevated platforms.</w:t>
      </w:r>
    </w:p>
    <w:p w:rsidR="00000000" w:rsidDel="00000000" w:rsidP="00000000" w:rsidRDefault="00000000" w:rsidRPr="00000000" w14:paraId="00000023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VI. Vehicle Safety: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numPr>
          <w:ilvl w:val="0"/>
          <w:numId w:val="10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Driver Safety Training: Stay up to date with driver safety training programs for technicians operating company vehicles.</w:t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Vehicle Inspections: Regularly inspect and maintain company vehicles, ensuring they meet safety standards.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0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Load Securement: Train technicians on proper load securement practices when transporting equipment and materials.</w:t>
      </w:r>
    </w:p>
    <w:p w:rsidR="00000000" w:rsidDel="00000000" w:rsidP="00000000" w:rsidRDefault="00000000" w:rsidRPr="00000000" w14:paraId="00000027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VII. Tool and Equipment Safety: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7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Regular Inspections: Conduct regular inspections of tools and equipment to identify and address potential safety hazards.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7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Proper Tool Use: Train technicians on the correct and safe use of tools, emphasizing the importance of following manufacturer guidelines.</w:t>
      </w:r>
    </w:p>
    <w:p w:rsidR="00000000" w:rsidDel="00000000" w:rsidP="00000000" w:rsidRDefault="00000000" w:rsidRPr="00000000" w14:paraId="0000002A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VIII. Fire Prevention: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No Smoking Zones: Clearly mark and enforce designated no-smoking zones in areas with flammable materials.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Electrical System Checks: Regularly inspect and maintain electrical systems to prevent electrical fires.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1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Combustible Material Storage: Store combustible materials in designated areas away from potential ignition sources.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after="280" w:before="280" w:lineRule="auto"/>
        <w:ind w:left="720" w:firstLine="0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280" w:before="280" w:lineRule="auto"/>
        <w:ind w:left="0" w:firstLine="0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IX. Training and Documentation: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4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Safety Training Programs: Attend ongoing safety training programs for field service technicians, covering relevant topics and updates.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Documentation: Maintain records of safety training, equipment inspections, and any incidents or near-misses for compliance purposes.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4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Regular Safety Meetings: Conduct regular safety meetings to reinforce safety protocols and address any concerns raised by technicians.</w:t>
      </w:r>
    </w:p>
    <w:p w:rsidR="00000000" w:rsidDel="00000000" w:rsidP="00000000" w:rsidRDefault="00000000" w:rsidRPr="00000000" w14:paraId="00000033">
      <w:pPr>
        <w:widowControl w:val="1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1"/>
        <w:spacing w:after="300" w:before="300" w:lineRule="auto"/>
        <w:rPr>
          <w:rFonts w:ascii="Roboto" w:cs="Roboto" w:eastAsia="Roboto" w:hAnsi="Roboto"/>
          <w:b w:val="1"/>
          <w:color w:val="37415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after="300" w:befor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374151"/>
          <w:sz w:val="24"/>
          <w:szCs w:val="24"/>
          <w:rtl w:val="0"/>
        </w:rPr>
        <w:t xml:space="preserve">X. Environmental Considerations: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5"/>
        </w:numPr>
        <w:spacing w:after="0" w:afterAutospacing="0" w:before="28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Waste Disposal Procedures: Implement proper procedures for the disposal of hazardous and non-hazardous waste generated during field service activities.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5"/>
        </w:numPr>
        <w:spacing w:after="280" w:before="0" w:beforeAutospacing="0" w:lineRule="auto"/>
        <w:ind w:left="720" w:hanging="360"/>
        <w:rPr>
          <w:rFonts w:ascii="Roboto" w:cs="Roboto" w:eastAsia="Roboto" w:hAnsi="Roboto"/>
          <w:color w:val="374151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color w:val="374151"/>
          <w:sz w:val="24"/>
          <w:szCs w:val="24"/>
          <w:rtl w:val="0"/>
        </w:rPr>
        <w:t xml:space="preserve">Environmental Impact Assessment: Consider and mitigate the potential environmental impacts of field service operations.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3134043</wp:posOffset>
                </wp:positionH>
                <wp:positionV relativeFrom="page">
                  <wp:posOffset>9586913</wp:posOffset>
                </wp:positionV>
                <wp:extent cx="1069975" cy="14351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5775" y="3713008"/>
                          <a:ext cx="1060450" cy="133985"/>
                        </a:xfrm>
                        <a:custGeom>
                          <a:rect b="b" l="l" r="r" t="t"/>
                          <a:pathLst>
                            <a:path extrusionOk="0" h="133985" w="1060450">
                              <a:moveTo>
                                <a:pt x="0" y="0"/>
                              </a:moveTo>
                              <a:lnTo>
                                <a:pt x="0" y="133985"/>
                              </a:lnTo>
                              <a:lnTo>
                                <a:pt x="1060450" y="133985"/>
                              </a:lnTo>
                              <a:lnTo>
                                <a:pt x="106045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4"/>
                                <w:vertAlign w:val="baseline"/>
                              </w:rPr>
                              <w:t xml:space="preserve">P.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4"/>
                                <w:vertAlign w:val="baseline"/>
                              </w:rPr>
                              <w:t xml:space="preserve">083)97939399779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3134043</wp:posOffset>
                </wp:positionH>
                <wp:positionV relativeFrom="page">
                  <wp:posOffset>9586913</wp:posOffset>
                </wp:positionV>
                <wp:extent cx="1069975" cy="14351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975" cy="143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10" w:orient="portrait"/>
      <w:pgMar w:bottom="280" w:top="9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Roboto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Montserrat">
    <w:embedRegular w:fontKey="{00000000-0000-0000-0000-000000000000}" r:id="rId6" w:subsetted="0"/>
    <w:embedBold w:fontKey="{00000000-0000-0000-0000-000000000000}" r:id="rId7" w:subsetted="0"/>
    <w:embedItalic w:fontKey="{00000000-0000-0000-0000-000000000000}" r:id="rId8" w:subsetted="0"/>
    <w:embedBoldItalic w:fontKey="{00000000-0000-0000-0000-000000000000}" r:id="rId9" w:subsetted="0"/>
  </w:font>
  <w:font w:name="Pramod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-742949</wp:posOffset>
              </wp:positionH>
              <wp:positionV relativeFrom="paragraph">
                <wp:posOffset>0</wp:posOffset>
              </wp:positionV>
              <wp:extent cx="7820025" cy="7018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483773"/>
                        <a:ext cx="7560310" cy="592455"/>
                      </a:xfrm>
                      <a:prstGeom prst="rect">
                        <a:avLst/>
                      </a:prstGeom>
                      <a:solidFill>
                        <a:srgbClr val="A5369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-742949</wp:posOffset>
              </wp:positionH>
              <wp:positionV relativeFrom="paragraph">
                <wp:posOffset>0</wp:posOffset>
              </wp:positionV>
              <wp:extent cx="7820025" cy="70184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0025" cy="701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Montserrat" w:cs="Montserrat" w:eastAsia="Montserrat" w:hAnsi="Montserrat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568.9999999999999" w:lineRule="auto"/>
      <w:ind w:left="42"/>
    </w:pPr>
    <w:rPr>
      <w:rFonts w:ascii="Pramodia" w:cs="Pramodia" w:eastAsia="Pramodia" w:hAnsi="Pramodia"/>
      <w:sz w:val="38"/>
      <w:szCs w:val="38"/>
    </w:rPr>
  </w:style>
  <w:style w:type="paragraph" w:styleId="Normal" w:default="1">
    <w:name w:val="Normal"/>
    <w:uiPriority w:val="1"/>
    <w:qFormat w:val="1"/>
    <w:rsid w:val="00AE1EF2"/>
    <w:rPr>
      <w:rFonts w:ascii="Montserrat" w:cs="Montserrat" w:eastAsia="Montserrat" w:hAnsi="Montserrat"/>
    </w:rPr>
  </w:style>
  <w:style w:type="paragraph" w:styleId="Heading3">
    <w:name w:val="heading 3"/>
    <w:basedOn w:val="Normal"/>
    <w:link w:val="Heading3Char"/>
    <w:uiPriority w:val="9"/>
    <w:qFormat w:val="1"/>
    <w:rsid w:val="00207B4E"/>
    <w:pPr>
      <w:widowControl w:val="1"/>
      <w:autoSpaceDE w:val="1"/>
      <w:autoSpaceDN w:val="1"/>
      <w:spacing w:after="100" w:afterAutospacing="1" w:before="100" w:beforeAutospacing="1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en-GB" w:val="en-GB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sid w:val="00AE1EF2"/>
    <w:pPr>
      <w:ind w:left="20"/>
    </w:pPr>
    <w:rPr>
      <w:sz w:val="14"/>
      <w:szCs w:val="14"/>
    </w:rPr>
  </w:style>
  <w:style w:type="paragraph" w:styleId="Title">
    <w:name w:val="Title"/>
    <w:basedOn w:val="Normal"/>
    <w:uiPriority w:val="1"/>
    <w:qFormat w:val="1"/>
    <w:rsid w:val="00AE1EF2"/>
    <w:pPr>
      <w:spacing w:line="569" w:lineRule="exact"/>
      <w:ind w:left="42"/>
    </w:pPr>
    <w:rPr>
      <w:rFonts w:ascii="Pramodia" w:cs="Pramodia" w:eastAsia="Pramodia" w:hAnsi="Pramodia"/>
      <w:sz w:val="38"/>
      <w:szCs w:val="38"/>
    </w:rPr>
  </w:style>
  <w:style w:type="paragraph" w:styleId="ListParagraph">
    <w:name w:val="List Paragraph"/>
    <w:basedOn w:val="Normal"/>
    <w:uiPriority w:val="1"/>
    <w:qFormat w:val="1"/>
    <w:rsid w:val="00AE1EF2"/>
  </w:style>
  <w:style w:type="paragraph" w:styleId="TableParagraph" w:customStyle="1">
    <w:name w:val="Table Paragraph"/>
    <w:basedOn w:val="Normal"/>
    <w:uiPriority w:val="1"/>
    <w:qFormat w:val="1"/>
    <w:rsid w:val="00AE1EF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07B4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07B4E"/>
    <w:rPr>
      <w:rFonts w:ascii="Tahoma" w:cs="Tahoma" w:eastAsia="Montserrat" w:hAnsi="Tahoma"/>
      <w:sz w:val="16"/>
      <w:szCs w:val="16"/>
    </w:rPr>
  </w:style>
  <w:style w:type="character" w:styleId="Heading3Char" w:customStyle="1">
    <w:name w:val="Heading 3 Char"/>
    <w:basedOn w:val="DefaultParagraphFont"/>
    <w:link w:val="Heading3"/>
    <w:uiPriority w:val="9"/>
    <w:rsid w:val="00207B4E"/>
    <w:rPr>
      <w:rFonts w:ascii="Times New Roman" w:cs="Times New Roman" w:eastAsia="Times New Roman" w:hAnsi="Times New Roman"/>
      <w:b w:val="1"/>
      <w:bCs w:val="1"/>
      <w:sz w:val="27"/>
      <w:szCs w:val="27"/>
      <w:lang w:eastAsia="en-GB" w:val="en-GB"/>
    </w:rPr>
  </w:style>
  <w:style w:type="paragraph" w:styleId="NormalWeb">
    <w:name w:val="Normal (Web)"/>
    <w:basedOn w:val="Normal"/>
    <w:uiPriority w:val="99"/>
    <w:semiHidden w:val="1"/>
    <w:unhideWhenUsed w:val="1"/>
    <w:rsid w:val="00207B4E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en-GB" w:val="en-GB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FC192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FC1928"/>
    <w:rPr>
      <w:rFonts w:ascii="Montserrat" w:cs="Montserrat" w:eastAsia="Montserrat" w:hAnsi="Montserrat"/>
    </w:rPr>
  </w:style>
  <w:style w:type="paragraph" w:styleId="Footer">
    <w:name w:val="footer"/>
    <w:basedOn w:val="Normal"/>
    <w:link w:val="FooterChar"/>
    <w:uiPriority w:val="99"/>
    <w:unhideWhenUsed w:val="1"/>
    <w:rsid w:val="00FC192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1928"/>
    <w:rPr>
      <w:rFonts w:ascii="Montserrat" w:cs="Montserrat" w:eastAsia="Montserrat" w:hAnsi="Montserra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2" Type="http://schemas.openxmlformats.org/officeDocument/2006/relationships/font" Target="fonts/Roboto-regular.ttf"/><Relationship Id="rId3" Type="http://schemas.openxmlformats.org/officeDocument/2006/relationships/font" Target="fonts/Roboto-bold.ttf"/><Relationship Id="rId4" Type="http://schemas.openxmlformats.org/officeDocument/2006/relationships/font" Target="fonts/Roboto-italic.ttf"/><Relationship Id="rId9" Type="http://schemas.openxmlformats.org/officeDocument/2006/relationships/font" Target="fonts/Montserrat-boldItalic.ttf"/><Relationship Id="rId5" Type="http://schemas.openxmlformats.org/officeDocument/2006/relationships/font" Target="fonts/Roboto-boldItalic.ttf"/><Relationship Id="rId6" Type="http://schemas.openxmlformats.org/officeDocument/2006/relationships/font" Target="fonts/Montserrat-regular.ttf"/><Relationship Id="rId7" Type="http://schemas.openxmlformats.org/officeDocument/2006/relationships/font" Target="fonts/Montserrat-bold.ttf"/><Relationship Id="rId8" Type="http://schemas.openxmlformats.org/officeDocument/2006/relationships/font" Target="fonts/Montserrat-italic.ttf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UwTAaDsArXCcW0grZUulSqgApA==">CgMxLjAyCGguZ2pkZ3hzOAByITFKR3dIak1jUGlBLXhUMUEyT01qdFk1LUx3NlhBWDhGbg==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2023-02-09T04:46:00Z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2023-02-09T00:00:00Z</vt:filetime>
  </property>
  <property fmtid="{D5CDD505-2E9C-101B-9397-08002B2CF9AE}" pid="5" name="LastSaved">
    <vt:lpwstr>2023-02-09T00:00:00Z</vt:lpwstr>
  </property>
  <property fmtid="{D5CDD505-2E9C-101B-9397-08002B2CF9AE}" pid="6" name="Creator">
    <vt:lpwstr>Adobe Illustrator 24.1 (Windows)</vt:lpwstr>
  </property>
  <property fmtid="{D5CDD505-2E9C-101B-9397-08002B2CF9AE}" pid="7" name="Created">
    <vt:lpwstr>2023-02-09T00:00:00Z</vt:lpwstr>
  </property>
</Properties>
</file>